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390BA051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C40D7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3A984373" w14:textId="77777777" w:rsidR="00B06CE6" w:rsidRDefault="0051143E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Contratação de solução web de atendimento online, mediante uso de plataforma compatível com API oficial WhatsApp Business, devidamente homologada pela Meta, de forma totalmente virtual, com integração de assistência virtual (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bot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>) para triagem e encaminhamento de atendimentos, mediante uso de único número de telefone par atendimentos simultâneos por usuários distintos.</w:t>
            </w:r>
          </w:p>
          <w:p w14:paraId="30B758E8" w14:textId="77777777" w:rsidR="0051143E" w:rsidRDefault="0051143E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solução consistirá em módulo ativo e receptivo, possibilitando a criação de conversas com contatos iniciadas pelos colaboradores do CRCPR, bem como o recebimento de mensagens de conversas iniciadas por usuários externos a serem atendidos.</w:t>
            </w:r>
          </w:p>
          <w:p w14:paraId="11373F50" w14:textId="1E646A88" w:rsidR="0002150D" w:rsidRDefault="0002150D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 </w:t>
            </w:r>
            <w:r w:rsidRPr="0002150D">
              <w:rPr>
                <w:rFonts w:ascii="Verdana" w:hAnsi="Verdana"/>
                <w:sz w:val="21"/>
                <w:szCs w:val="21"/>
              </w:rPr>
              <w:t>solução deve contemplar painel com informações, métricas e indicadores (dashboard) em tempo real, acessível aos administradores/gestores, dos atendimentos executados, não executados, fila de espera de atendimento e demais informações que suportem a tomada de decisões referente ao remanejamento de pessoal e atendimento, bem como alterações de configuração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  <w:p w14:paraId="7CC53C0E" w14:textId="77777777" w:rsidR="0002150D" w:rsidRDefault="0002150D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O </w:t>
            </w:r>
            <w:r w:rsidRPr="0002150D">
              <w:rPr>
                <w:rFonts w:ascii="Verdana" w:hAnsi="Verdana"/>
                <w:sz w:val="21"/>
                <w:szCs w:val="21"/>
              </w:rPr>
              <w:t xml:space="preserve">envio e recebimento de mensagens, com ou sem anexo, número de atendimentos, atendentes e contatos </w:t>
            </w:r>
            <w:r>
              <w:rPr>
                <w:rFonts w:ascii="Verdana" w:hAnsi="Verdana"/>
                <w:sz w:val="21"/>
                <w:szCs w:val="21"/>
              </w:rPr>
              <w:t>deverão ser disciplinados de acordo com faixas.</w:t>
            </w:r>
          </w:p>
          <w:p w14:paraId="783DBFFD" w14:textId="00905AEC" w:rsidR="0002150D" w:rsidRDefault="0002150D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solução deverá:</w:t>
            </w:r>
          </w:p>
          <w:p w14:paraId="22D52ED1" w14:textId="0636CB8A" w:rsidR="0002150D" w:rsidRDefault="0002150D" w:rsidP="0002150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 xml:space="preserve">Permitir o atendimento e uso da ferramenta por pelo menos </w:t>
            </w:r>
            <w:r>
              <w:rPr>
                <w:rFonts w:ascii="Verdana" w:hAnsi="Verdana"/>
                <w:sz w:val="21"/>
                <w:szCs w:val="21"/>
              </w:rPr>
              <w:t>67</w:t>
            </w:r>
            <w:r w:rsidRPr="0002150D">
              <w:rPr>
                <w:rFonts w:ascii="Verdana" w:hAnsi="Verdana"/>
                <w:sz w:val="21"/>
                <w:szCs w:val="21"/>
              </w:rPr>
              <w:t xml:space="preserve"> (</w:t>
            </w:r>
            <w:r>
              <w:rPr>
                <w:rFonts w:ascii="Verdana" w:hAnsi="Verdana"/>
                <w:sz w:val="21"/>
                <w:szCs w:val="21"/>
              </w:rPr>
              <w:t>sessenta e sete</w:t>
            </w:r>
            <w:r w:rsidRPr="0002150D">
              <w:rPr>
                <w:rFonts w:ascii="Verdana" w:hAnsi="Verdana"/>
                <w:sz w:val="21"/>
                <w:szCs w:val="21"/>
              </w:rPr>
              <w:t>) usuários simultaneamente.</w:t>
            </w:r>
          </w:p>
          <w:p w14:paraId="692A4C8C" w14:textId="5E210969" w:rsidR="00BF2177" w:rsidRPr="0002150D" w:rsidRDefault="00BF2177" w:rsidP="0002150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Garantir disponibilidade de 24h (vinte e quatro horas) das funcionalidades contratadas, integralmente.</w:t>
            </w:r>
          </w:p>
          <w:p w14:paraId="6771D626" w14:textId="77777777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Possibilitar o cadastro de diversos setores/divisões, sem limites de subdivisão, de forma que seja possível direcionar os atendimentos aos setores/divisões mais adequadas para cada atendimento.</w:t>
            </w:r>
          </w:p>
          <w:p w14:paraId="153161EC" w14:textId="77777777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Permitir o cadastro de diferentes níveis de usuários com funções distintas para atendimento, administrador, supervisor, a fim de organizar as permissões e facilitar a gestão da ferramenta.</w:t>
            </w:r>
          </w:p>
          <w:p w14:paraId="228666B7" w14:textId="77777777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Permitir a coleta de informações sobre a satisfação dos usuários referente ao atendimento por meio de pesquisas ao final do atendimento e a extração de relatórios sobre pesquisas realizadas e consolidação dos resultados.</w:t>
            </w:r>
          </w:p>
          <w:p w14:paraId="454A5DC7" w14:textId="7F2B18F6" w:rsidR="0002150D" w:rsidRDefault="0002150D" w:rsidP="0002150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lastRenderedPageBreak/>
              <w:t>Permitir a transferência de conversas/atendimentos entre atendentes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  <w:p w14:paraId="60A3F1A5" w14:textId="48E4356A" w:rsidR="0002150D" w:rsidRDefault="0002150D" w:rsidP="00AC5076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Possibilitar a integração de banco de dados do CRCPR com a ferramenta</w:t>
            </w:r>
            <w:r w:rsidR="00BF2177">
              <w:rPr>
                <w:rFonts w:ascii="Verdana" w:hAnsi="Verdana"/>
                <w:sz w:val="21"/>
                <w:szCs w:val="21"/>
              </w:rPr>
              <w:t>, usando API externa e disponibilização de informações e arquivos durante o fluxo de atendimento.</w:t>
            </w:r>
          </w:p>
          <w:p w14:paraId="607CFC2A" w14:textId="2B0BADBE" w:rsidR="004F6AFE" w:rsidRDefault="004F6AFE" w:rsidP="00AC5076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Possibilitar o uso de opções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pré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 xml:space="preserve">-configuradas para atendimento virtual, como opções, “sim”, “não” </w:t>
            </w:r>
            <w:proofErr w:type="gramStart"/>
            <w:r>
              <w:rPr>
                <w:rFonts w:ascii="Verdana" w:hAnsi="Verdana"/>
                <w:sz w:val="21"/>
                <w:szCs w:val="21"/>
              </w:rPr>
              <w:t>e</w:t>
            </w:r>
            <w:proofErr w:type="gramEnd"/>
            <w:r>
              <w:rPr>
                <w:rFonts w:ascii="Verdana" w:hAnsi="Verdana"/>
                <w:sz w:val="21"/>
                <w:szCs w:val="21"/>
              </w:rPr>
              <w:t xml:space="preserve"> outras opções consideradas pertinentes para as rotinas estabelecidas.</w:t>
            </w:r>
          </w:p>
          <w:p w14:paraId="700F609A" w14:textId="1630EF4C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ind w:left="465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 </w:t>
            </w:r>
            <w:r w:rsidRPr="0002150D">
              <w:rPr>
                <w:rFonts w:ascii="Verdana" w:hAnsi="Verdana"/>
                <w:sz w:val="21"/>
                <w:szCs w:val="21"/>
              </w:rPr>
              <w:t xml:space="preserve">ferramenta deve ser capaz de gerar relatórios gerenciais diversos, com número de atendimento por atendentes, tipos de solicitação, filtro por divisão/setor, data e hora, tempo, chamados, classificação de atendimento, solucionados, não atendidos, </w:t>
            </w:r>
            <w:r w:rsidR="004F6AFE">
              <w:rPr>
                <w:rFonts w:ascii="Verdana" w:hAnsi="Verdana"/>
                <w:sz w:val="21"/>
                <w:szCs w:val="21"/>
              </w:rPr>
              <w:t xml:space="preserve">em atendimento, </w:t>
            </w:r>
            <w:r w:rsidRPr="0002150D">
              <w:rPr>
                <w:rFonts w:ascii="Verdana" w:hAnsi="Verdana"/>
                <w:sz w:val="21"/>
                <w:szCs w:val="21"/>
              </w:rPr>
              <w:t>entre outros, em formato PDF (no mínimo).</w:t>
            </w:r>
          </w:p>
          <w:p w14:paraId="18F9E4A4" w14:textId="77777777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ind w:left="465" w:hanging="425"/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Os atendimentos serão identificados por meio de número único de protocolo, sob o qual serão registradas e armazenadas todas as mensagens, horário de atendimento e identificação do atendente, permitindo a recuperação de mensagens e atendimentos completos visando garantir transparência ao serviço prestado, bem como resguardar o usuário, atendente e o CRCPR quando necessário.</w:t>
            </w:r>
          </w:p>
          <w:p w14:paraId="45C5223F" w14:textId="77777777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ind w:left="465" w:hanging="425"/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O assistente virtual (</w:t>
            </w:r>
            <w:proofErr w:type="spellStart"/>
            <w:r w:rsidRPr="0002150D">
              <w:rPr>
                <w:rFonts w:ascii="Verdana" w:hAnsi="Verdana"/>
                <w:sz w:val="21"/>
                <w:szCs w:val="21"/>
              </w:rPr>
              <w:t>bot</w:t>
            </w:r>
            <w:proofErr w:type="spellEnd"/>
            <w:r w:rsidRPr="0002150D">
              <w:rPr>
                <w:rFonts w:ascii="Verdana" w:hAnsi="Verdana"/>
                <w:sz w:val="21"/>
                <w:szCs w:val="21"/>
              </w:rPr>
              <w:t>) será plenamente personalizável, com ao menos 10 (dez) opções e 5 (cinco) níveis de opções, permitindo a configuração e alteração conforme as necessidades do CRCPR e encaminhamento dos atendimentos de acordo com as políticas e diretrizes definidas pelo CRCPR.</w:t>
            </w:r>
          </w:p>
          <w:p w14:paraId="36BFAD58" w14:textId="77777777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ind w:left="465" w:hanging="425"/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Aos finais de semana, feriados, recessos e demais datas e horários em que o CRCPR não se encontre em funcionamento, deverá ser possível definir mensagem personalizada a ser encaminhada aqueles que enviarem solicitações (tentativa de contato).</w:t>
            </w:r>
          </w:p>
          <w:p w14:paraId="7269D65E" w14:textId="77777777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Deverá ser possível ao CRCPR alterar as datas, horários e mensagem a qualquer tempo.</w:t>
            </w:r>
          </w:p>
          <w:p w14:paraId="6151C656" w14:textId="77777777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Compreende a solução os serviços de implantação, customizações necessárias, manutenção corretiva e evolutiva, parametrização e suporte técnico.</w:t>
            </w:r>
          </w:p>
          <w:p w14:paraId="1932CA8E" w14:textId="49C6C1FE" w:rsidR="0002150D" w:rsidRPr="0002150D" w:rsidRDefault="0002150D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A empresa contratada deverá fornecer toda a infraestrutura necessária para hospedagem e funcionamento da solução, cabendo ao CRCPR conceder permissões de acesso à aplicação web</w:t>
            </w:r>
            <w:r>
              <w:rPr>
                <w:rFonts w:ascii="Verdana" w:hAnsi="Verdana"/>
                <w:sz w:val="21"/>
                <w:szCs w:val="21"/>
              </w:rPr>
              <w:t>, banco de dados, quando necessário,</w:t>
            </w:r>
            <w:r w:rsidRPr="0002150D">
              <w:rPr>
                <w:rFonts w:ascii="Verdana" w:hAnsi="Verdana"/>
                <w:sz w:val="21"/>
                <w:szCs w:val="21"/>
              </w:rPr>
              <w:t xml:space="preserve"> e ao número de contato a ser utilizado.</w:t>
            </w:r>
          </w:p>
          <w:p w14:paraId="0E0A3B88" w14:textId="690D0935" w:rsidR="0002150D" w:rsidRPr="00AC5076" w:rsidRDefault="0002150D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 w:rsidRPr="0002150D">
              <w:rPr>
                <w:rFonts w:ascii="Verdana" w:hAnsi="Verdana"/>
                <w:sz w:val="21"/>
                <w:szCs w:val="21"/>
              </w:rPr>
              <w:t>Para fins de utilização da interface web, a solução deverá ser compatível com os navegadores Mozilla Firefox versão 100 ou mais atual e Google Chrome versão 101 ou mais atual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</w:tc>
      </w:tr>
      <w:tr w:rsidR="00DC40D7" w14:paraId="11A270E6" w14:textId="77777777" w:rsidTr="00C10469"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1C7A3C73" w:rsidR="00DC40D7" w:rsidRPr="0085571F" w:rsidRDefault="0002150D" w:rsidP="00BE36CE">
            <w:pPr>
              <w:pStyle w:val="Ttulo2"/>
              <w:numPr>
                <w:ilvl w:val="0"/>
                <w:numId w:val="9"/>
              </w:numPr>
              <w:spacing w:before="2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(doze) meses, contados da data da assinatura do contrato administrativo.</w:t>
            </w:r>
          </w:p>
        </w:tc>
      </w:tr>
      <w:tr w:rsidR="00DC40D7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E73FEB" w14:textId="58ADFF2B" w:rsidR="004B240F" w:rsidRPr="0007304C" w:rsidRDefault="0026376C" w:rsidP="00541262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</w:t>
            </w:r>
            <w:r w:rsidR="005B045F" w:rsidRPr="0007304C">
              <w:rPr>
                <w:sz w:val="21"/>
                <w:szCs w:val="21"/>
              </w:rPr>
              <w:t>, em todas as fases da contratação,</w:t>
            </w:r>
            <w:r w:rsidRPr="0007304C">
              <w:rPr>
                <w:sz w:val="21"/>
                <w:szCs w:val="21"/>
              </w:rPr>
              <w:t xml:space="preserve"> o </w:t>
            </w:r>
            <w:r w:rsidR="00C1085E" w:rsidRPr="0007304C">
              <w:rPr>
                <w:sz w:val="21"/>
                <w:szCs w:val="21"/>
              </w:rPr>
              <w:t>emprego de</w:t>
            </w:r>
            <w:r w:rsidR="00107E92" w:rsidRPr="0007304C">
              <w:rPr>
                <w:sz w:val="21"/>
                <w:szCs w:val="21"/>
              </w:rPr>
              <w:t xml:space="preserve"> material adequado e</w:t>
            </w:r>
            <w:r w:rsidR="00C1085E" w:rsidRPr="0007304C">
              <w:rPr>
                <w:sz w:val="21"/>
                <w:szCs w:val="21"/>
              </w:rPr>
              <w:t xml:space="preserve"> mão de obra especializad</w:t>
            </w:r>
            <w:r w:rsidR="005B045F" w:rsidRPr="0007304C">
              <w:rPr>
                <w:sz w:val="21"/>
                <w:szCs w:val="21"/>
              </w:rPr>
              <w:t>a</w:t>
            </w:r>
            <w:r w:rsidR="00477AED">
              <w:rPr>
                <w:sz w:val="21"/>
                <w:szCs w:val="21"/>
              </w:rPr>
              <w:t>, observadas, ainda, as pertinentes normas técnicas, ambientais e de segurança e saúde no trabalho em relação aos colaboradores envolvidos.</w:t>
            </w:r>
          </w:p>
          <w:p w14:paraId="6C303B3D" w14:textId="77777777" w:rsidR="00646D69" w:rsidRDefault="00216F91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</w:t>
            </w:r>
            <w:r w:rsidR="00121F87">
              <w:rPr>
                <w:sz w:val="21"/>
                <w:szCs w:val="21"/>
              </w:rPr>
              <w:t xml:space="preserve"> (trabalhistas, sociais, fiscais e comerciais)</w:t>
            </w:r>
            <w:r w:rsidR="009B3D81">
              <w:rPr>
                <w:sz w:val="21"/>
                <w:szCs w:val="21"/>
              </w:rPr>
              <w:t>, insumos, mão de obra, transporte e outras obrigações decorrentes da prestação do serviço correrão por conta da futura</w:t>
            </w:r>
            <w:r w:rsidR="007514CC">
              <w:rPr>
                <w:sz w:val="21"/>
                <w:szCs w:val="21"/>
              </w:rPr>
              <w:t xml:space="preserve"> </w:t>
            </w:r>
            <w:r w:rsidR="009B3D81">
              <w:rPr>
                <w:sz w:val="21"/>
                <w:szCs w:val="21"/>
              </w:rPr>
              <w:t>contratada, razão pela qual deverão estar contemplados no preço proposto.</w:t>
            </w:r>
          </w:p>
          <w:p w14:paraId="522E23AC" w14:textId="4FB363FA" w:rsidR="00C10469" w:rsidRPr="00136B5E" w:rsidRDefault="00C10469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 do CRCPR fica localizada na Rua XV de Novembro, nº 2987, Alto da XV, Curitiba, Paraná.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44AB964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8829EA">
        <w:rPr>
          <w:rFonts w:ascii="Verdana" w:hAnsi="Verdana"/>
          <w:sz w:val="21"/>
          <w:szCs w:val="21"/>
        </w:rPr>
        <w:t>01</w:t>
      </w:r>
      <w:r w:rsidR="00585E6F">
        <w:rPr>
          <w:rFonts w:ascii="Verdana" w:hAnsi="Verdana"/>
          <w:sz w:val="21"/>
          <w:szCs w:val="21"/>
        </w:rPr>
        <w:t>/</w:t>
      </w:r>
      <w:r w:rsidR="008829EA">
        <w:rPr>
          <w:rFonts w:ascii="Verdana" w:hAnsi="Verdana"/>
          <w:sz w:val="21"/>
          <w:szCs w:val="21"/>
        </w:rPr>
        <w:t>03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5A77B8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2024-02-28T19:37:00Z</dcterms:created>
  <dcterms:modified xsi:type="dcterms:W3CDTF">2024-02-28T19:37:00Z</dcterms:modified>
</cp:coreProperties>
</file>